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"https://www.temi.com/editor/t/FxD5a5gASFF7IXakDMxjXH5By2KMEl5p191v_eUuzt_Oy2BOSwvVx_wwIiS5ER-sPUulBTJ-6l4RiRcElxbobae9GLg?loadFrom=DocumentDeeplink&amp;ts=2.58"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sister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"https://www.temi.com/editor/t/FxD5a5gASFF7IXakDMxjXH5By2KMEl5p191v_eUuzt_Oy2BOSwvVx_wwIiS5ER-sPUulBTJ-6l4RiRcElxbobae9GLg?loadFrom=DocumentDeeplink&amp;ts=14.3"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Ronhad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Ronhad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"https://www.temi.com/editor/t/FxD5a5gASFF7IXakDMxjXH5By2KMEl5p191v_eUuzt_Oy2BOSwvVx_wwIiS5ER-sPUulBTJ-6l4RiRcElxbobae9GLg?loadFrom=DocumentDeeplink&amp;ts=19.01"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"https://www.temi.com/editor/t/FxD5a5gASFF7IXakDMxjXH5By2KMEl5p191v_eUuzt_Oy2BOSwvVx_wwIiS5ER-sPUulBTJ-6l4RiRcElxbobae9GLg?loadFrom=DocumentDeeplink&amp;ts=19.01"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"https://www.temi.com/editor/t/FxD5a5gASFF7IXakDMxjXH5By2KMEl5p191v_eUuzt_Oy2BOSwvVx_wwIiS5ER-sPUulBTJ-6l4RiRcElxbobae9GLg?loadFrom=DocumentDeeplink&amp;ts=23.66"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"https://www.temi.com/editor/t/FxD5a5gASFF7IXakDMxjXH5By2KMEl5p191v_eUuzt_Oy2BOSwvVx_wwIiS5ER-sPUulBTJ-6l4RiRcElxbobae9GLg?loadFrom=DocumentDeeplink&amp;ts=23.66"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"https://www.temi.com/editor/t/FxD5a5gASFF7IXakDMxjXH5By2KMEl5p191v_eUuzt_Oy2BOSwvVx_wwIiS5ER-sPUulBTJ-6l4RiRcElxbobae9GLg?loadFrom=DocumentDeeplink&amp;ts=40.31"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"https://www.temi.com/editor/t/FxD5a5gASFF7IXakDMxjXH5By2KMEl5p191v_eUuzt_Oy2BOSwvVx_wwIiS5ER-sPUulBTJ-6l4RiRcElxbobae9GLg?loadFrom=DocumentDeeplink&amp;ts=40.31"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"https://www.temi.com/editor/t/FxD5a5gASFF7IXakDMxjXH5By2KMEl5p191v_eUuzt_Oy2BOSwvVx_wwIiS5ER-sPUulBTJ-6l4RiRcElxbobae9GLg?loadFrom=DocumentDeeplink&amp;ts=58.49"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"https://www.temi.com/editor/t/FxD5a5gASFF7IXakDMxjXH5By2KMEl5p191v_eUuzt_Oy2BOSwvVx_wwIiS5ER-sPUulBTJ-6l4RiRcElxbobae9GLg?loadFrom=DocumentDeeplink&amp;ts=64.73"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circumstances.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"https://www.temi.com/editor/t/FxD5a5gASFF7IXakDMxjXH5By2KMEl5p191v_eUuzt_Oy2BOSwvVx_wwIiS5ER-sPUulBTJ-6l4RiRcElxbobae9GLg?loadFrom=DocumentDeeplink&amp;ts=97.04"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"https://www.temi.com/editor/t/FxD5a5gASFF7IXakDMxjXH5By2KMEl5p191v_eUuzt_Oy2BOSwvVx_wwIiS5ER-sPUulBTJ-6l4RiRcElxbobae9GLg?loadFrom=DocumentDeeplink&amp;ts=103.43"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"https://www.temi.com/editor/t/FxD5a5gASFF7IXakDMxjXH5By2KMEl5p191v_eUuzt_Oy2BOSwvVx_wwIiS5ER-sPUulBTJ-6l4RiRcElxbobae9GLg?loadFrom=DocumentDeeplink&amp;ts=104.93"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"https://www.temi.com/editor/t/FxD5a5gASFF7IXakDMxjXH5By2KMEl5p191v_eUuzt_Oy2BOSwvVx_wwIiS5ER-sPUulBTJ-6l4RiRcElxbobae9GLg?loadFrom=DocumentDeeplink&amp;ts=112.13"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reinstated.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"https://www.temi.com/editor/t/FxD5a5gASFF7IXakDMxjXH5By2KMEl5p191v_eUuzt_Oy2BOSwvVx_wwIiS5ER-sPUulBTJ-6l4RiRcElxbobae9GLg?loadFrom=DocumentDeeplink&amp;ts=152.84"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"https://www.temi.com/editor/t/FxD5a5gASFF7IXakDMxjXH5By2KMEl5p191v_eUuzt_Oy2BOSwvVx_wwIiS5ER-sPUulBTJ-6l4RiRcElxbobae9GLg?loadFrom=DocumentDeeplink&amp;ts=152.84"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"https://www.temi.com/editor/t/FxD5a5gASFF7IXakDMxjXH5By2KMEl5p191v_eUuzt_Oy2BOSwvVx_wwIiS5ER-sPUulBTJ-6l4RiRcElxbobae9GLg?loadFrom=DocumentDeeplink&amp;ts=159.86"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outdoors.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admissions,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trespass,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"https://www.temi.com/editor/t/FxD5a5gASFF7IXakDMxjXH5By2KMEl5p191v_eUuzt_Oy2BOSwvVx_wwIiS5ER-sPUulBTJ-6l4RiRcElxbobae9GLg?loadFrom=DocumentDeeplink&amp;ts=212.94"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"https://www.temi.com/editor/t/FxD5a5gASFF7IXakDMxjXH5By2KMEl5p191v_eUuzt_Oy2BOSwvVx_wwIiS5ER-sPUulBTJ-6l4RiRcElxbobae9GLg?loadFrom=DocumentDeeplink&amp;ts=213.031"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"https://www.temi.com/editor/t/FxD5a5gASFF7IXakDMxjXH5By2KMEl5p191v_eUuzt_Oy2BOSwvVx_wwIiS5ER-sPUulBTJ-6l4RiRcElxbobae9GLg?loadFrom=DocumentDeeplink&amp;ts=213.031"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"https://www.temi.com/editor/t/FxD5a5gASFF7IXakDMxjXH5By2KMEl5p191v_eUuzt_Oy2BOSwvVx_wwIiS5ER-sPUulBTJ-6l4RiRcElxbobae9GLg?loadFrom=DocumentDeeplink&amp;ts=221.19"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employer's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liability,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unlimited.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script.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Scotland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"https://www.temi.com/editor/t/FxD5a5gASFF7IXakDMxjXH5By2KMEl5p191v_eUuzt_Oy2BOSwvVx_wwIiS5ER-sPUulBTJ-6l4RiRcElxbobae9GLg?loadFrom=DocumentDeeplink&amp;ts=257.7"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overwhelming.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constitution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"https://www.temi.com/editor/t/FxD5a5gASFF7IXakDMxjXH5By2KMEl5p191v_eUuzt_Oy2BOSwvVx_wwIiS5ER-sPUulBTJ-6l4RiRcElxbobae9GLg?loadFrom=DocumentDeeplink&amp;ts=299.64"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integrity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MG11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shambles.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malfeasance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malfeasance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"https://www.temi.com/editor/t/FxD5a5gASFF7IXakDMxjXH5By2KMEl5p191v_eUuzt_Oy2BOSwvVx_wwIiS5ER-sPUulBTJ-6l4RiRcElxbobae9GLg?loadFrom=DocumentDeeplink&amp;ts=344.85"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perjury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1986.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NFAs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upstairs.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backdating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"https://www.temi.com/editor/t/FxD5a5gASFF7IXakDMxjXH5By2KMEl5p191v_eUuzt_Oy2BOSwvVx_wwIiS5ER-sPUulBTJ-6l4RiRcElxbobae9GLg?loadFrom=DocumentDeeplink&amp;ts=394.76"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limitation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entrapment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"https://www.temi.com/editor/t/FxD5a5gASFF7IXakDMxjXH5By2KMEl5p191v_eUuzt_Oy2BOSwvVx_wwIiS5ER-sPUulBTJ-6l4RiRcElxbobae9GLg?loadFrom=DocumentDeeplink&amp;ts=433.28"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conduct.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identified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portraying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"https://www.temi.com/editor/t/FxD5a5gASFF7IXakDMxjXH5By2KMEl5p191v_eUuzt_Oy2BOSwvVx_wwIiS5ER-sPUulBTJ-6l4RiRcElxbobae9GLg?loadFrom=DocumentDeeplink&amp;ts=464.39"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"https://www.temi.com/editor/t/FxD5a5gASFF7IXakDMxjXH5By2KMEl5p191v_eUuzt_Oy2BOSwvVx_wwIiS5ER-sPUulBTJ-6l4RiRcElxbobae9GLg?loadFrom=DocumentDeeplink&amp;ts=467.65"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"https://www.temi.com/editor/t/FxD5a5gASFF7IXakDMxjXH5By2KMEl5p191v_eUuzt_Oy2BOSwvVx_wwIiS5ER-sPUulBTJ-6l4RiRcElxbobae9GLg?loadFrom=DocumentDeeplink&amp;ts=480.14"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"https://www.temi.com/editor/t/FxD5a5gASFF7IXakDMxjXH5By2KMEl5p191v_eUuzt_Oy2BOSwvVx_wwIiS5ER-sPUulBTJ-6l4RiRcElxbobae9GLg?loadFrom=DocumentDeeplink&amp;ts=488.77"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"https://www.temi.com/editor/t/FxD5a5gASFF7IXakDMxjXH5By2KMEl5p191v_eUuzt_Oy2BOSwvVx_wwIiS5ER-sPUulBTJ-6l4RiRcElxbobae9GLg?loadFrom=DocumentDeeplink&amp;ts=488.77"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"https://www.temi.com/editor/t/FxD5a5gASFF7IXakDMxjXH5By2KMEl5p191v_eUuzt_Oy2BOSwvVx_wwIiS5ER-sPUulBTJ-6l4RiRcElxbobae9GLg?loadFrom=DocumentDeeplink&amp;ts=496.67"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dismissed.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"https://www.temi.com/editor/t/FxD5a5gASFF7IXakDMxjXH5By2KMEl5p191v_eUuzt_Oy2BOSwvVx_wwIiS5ER-sPUulBTJ-6l4RiRcElxbobae9GLg?loadFrom=DocumentDeeplink&amp;ts=513.19"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"https://www.temi.com/editor/t/FxD5a5gASFF7IXakDMxjXH5By2KMEl5p191v_eUuzt_Oy2BOSwvVx_wwIiS5ER-sPUulBTJ-6l4RiRcElxbobae9GLg?loadFrom=DocumentDeeplink&amp;ts=518.47"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"https://www.temi.com/editor/t/FxD5a5gASFF7IXakDMxjXH5By2KMEl5p191v_eUuzt_Oy2BOSwvVx_wwIiS5ER-sPUulBTJ-6l4RiRcElxbobae9GLg?loadFrom=DocumentDeeplink&amp;ts=522.1"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"https://www.temi.com/editor/t/FxD5a5gASFF7IXakDMxjXH5By2KMEl5p191v_eUuzt_Oy2BOSwvVx_wwIiS5ER-sPUulBTJ-6l4RiRcElxbobae9GLg?loadFrom=DocumentDeeplink&amp;ts=522.1"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assigned,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"https://www.temi.com/editor/t/FxD5a5gASFF7IXakDMxjXH5By2KMEl5p191v_eUuzt_Oy2BOSwvVx_wwIiS5ER-sPUulBTJ-6l4RiRcElxbobae9GLg?loadFrom=DocumentDeeplink&amp;ts=528.13"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"https://www.temi.com/editor/t/FxD5a5gASFF7IXakDMxjXH5By2KMEl5p191v_eUuzt_Oy2BOSwvVx_wwIiS5ER-sPUulBTJ-6l4RiRcElxbobae9GLg?loadFrom=DocumentDeeplink&amp;ts=532.96"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"https://www.temi.com/editor/t/FxD5a5gASFF7IXakDMxjXH5By2KMEl5p191v_eUuzt_Oy2BOSwvVx_wwIiS5ER-sPUulBTJ-6l4RiRcElxbobae9GLg?loadFrom=DocumentDeeplink&amp;ts=536.49"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"https://www.temi.com/editor/t/FxD5a5gASFF7IXakDMxjXH5By2KMEl5p191v_eUuzt_Oy2BOSwvVx_wwIiS5ER-sPUulBTJ-6l4RiRcElxbobae9GLg?loadFrom=DocumentDeeplink&amp;ts=539.69"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"https://www.temi.com/editor/t/FxD5a5gASFF7IXakDMxjXH5By2KMEl5p191v_eUuzt_Oy2BOSwvVx_wwIiS5ER-sPUulBTJ-6l4RiRcElxbobae9GLg?loadFrom=DocumentDeeplink&amp;ts=548.08"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"https://www.temi.com/editor/t/FxD5a5gASFF7IXakDMxjXH5By2KMEl5p191v_eUuzt_Oy2BOSwvVx_wwIiS5ER-sPUulBTJ-6l4RiRcElxbobae9GLg?loadFrom=DocumentDeeplink&amp;ts=554.03"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"https://www.temi.com/editor/t/FxD5a5gASFF7IXakDMxjXH5By2KMEl5p191v_eUuzt_Oy2BOSwvVx_wwIiS5ER-sPUulBTJ-6l4RiRcElxbobae9GLg?loadFrom=DocumentDeeplink&amp;ts=560.45"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"https://www.temi.com/editor/t/FxD5a5gASFF7IXakDMxjXH5By2KMEl5p191v_eUuzt_Oy2BOSwvVx_wwIiS5ER-sPUulBTJ-6l4RiRcElxbobae9GLg?loadFrom=DocumentDeeplink&amp;ts=571.041"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"https://www.temi.com/editor/t/FxD5a5gASFF7IXakDMxjXH5By2KMEl5p191v_eUuzt_Oy2BOSwvVx_wwIiS5ER-sPUulBTJ-6l4RiRcElxbobae9GLg?loadFrom=DocumentDeeplink&amp;ts=571.4"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"https://www.temi.com/editor/t/FxD5a5gASFF7IXakDMxjXH5By2KMEl5p191v_eUuzt_Oy2BOSwvVx_wwIiS5ER-sPUulBTJ-6l4RiRcElxbobae9GLg?loadFrom=DocumentDeeplink&amp;ts=572.75"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"https://www.temi.com/editor/t/FxD5a5gASFF7IXakDMxjXH5By2KMEl5p191v_eUuzt_Oy2BOSwvVx_wwIiS5ER-sPUulBTJ-6l4RiRcElxbobae9GLg?loadFrom=DocumentDeeplink&amp;ts=580.34"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"https://www.temi.com/editor/t/FxD5a5gASFF7IXakDMxjXH5By2KMEl5p191v_eUuzt_Oy2BOSwvVx_wwIiS5ER-sPUulBTJ-6l4RiRcElxbobae9GLg?loadFrom=DocumentDeeplink&amp;ts=580.34"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"https://www.temi.com/editor/t/FxD5a5gASFF7IXakDMxjXH5By2KMEl5p191v_eUuzt_Oy2BOSwvVx_wwIiS5ER-sPUulBTJ-6l4RiRcElxbobae9GLg?loadFrom=DocumentDeeplink&amp;ts=581.69"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"https://www.temi.com/editor/t/FxD5a5gASFF7IXakDMxjXH5By2KMEl5p191v_eUuzt_Oy2BOSwvVx_wwIiS5ER-sPUulBTJ-6l4RiRcElxbobae9GLg?loadFrom=DocumentDeeplink&amp;ts=581.69"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litigation.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"https://www.temi.com/editor/t/FxD5a5gASFF7IXakDMxjXH5By2KMEl5p191v_eUuzt_Oy2BOSwvVx_wwIiS5ER-sPUulBTJ-6l4RiRcElxbobae9GLg?loadFrom=DocumentDeeplink&amp;ts=581.69"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"https://www.temi.com/editor/t/FxD5a5gASFF7IXakDMxjXH5By2KMEl5p191v_eUuzt_Oy2BOSwvVx_wwIiS5ER-sPUulBTJ-6l4RiRcElxbobae9GLg?loadFrom=DocumentDeeplink&amp;ts=588.08"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qualification.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deserved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"https://www.temi.com/editor/t/FxD5a5gASFF7IXakDMxjXH5By2KMEl5p191v_eUuzt_Oy2BOSwvVx_wwIiS5ER-sPUulBTJ-6l4RiRcElxbobae9GLg?loadFrom=DocumentDeeplink&amp;ts=599"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Thousand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000.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"https://www.temi.com/editor/t/FxD5a5gASFF7IXakDMxjXH5By2KMEl5p191v_eUuzt_Oy2BOSwvVx_wwIiS5ER-sPUulBTJ-6l4RiRcElxbobae9GLg?loadFrom=DocumentDeeplink&amp;ts=601.88"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"https://www.temi.com/editor/t/FxD5a5gASFF7IXakDMxjXH5By2KMEl5p191v_eUuzt_Oy2BOSwvVx_wwIiS5ER-sPUulBTJ-6l4RiRcElxbobae9GLg?loadFrom=DocumentDeeplink&amp;ts=617.93"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"https://www.temi.com/editor/t/FxD5a5gASFF7IXakDMxjXH5By2KMEl5p191v_eUuzt_Oy2BOSwvVx_wwIiS5ER-sPUulBTJ-6l4RiRcElxbobae9GLg?loadFrom=DocumentDeeplink&amp;ts=617.93"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"https://www.temi.com/editor/t/FxD5a5gASFF7IXakDMxjXH5By2KMEl5p191v_eUuzt_Oy2BOSwvVx_wwIiS5ER-sPUulBTJ-6l4RiRcElxbobae9GLg?loadFrom=DocumentDeeplink&amp;ts=651.71"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"https://www.temi.com/editor/t/FxD5a5gASFF7IXakDMxjXH5By2KMEl5p191v_eUuzt_Oy2BOSwvVx_wwIiS5ER-sPUulBTJ-6l4RiRcElxbobae9GLg?loadFrom=DocumentDeeplink&amp;ts=651.71"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"https://www.temi.com/editor/t/FxD5a5gASFF7IXakDMxjXH5By2KMEl5p191v_eUuzt_Oy2BOSwvVx_wwIiS5ER-sPUulBTJ-6l4RiRcElxbobae9GLg?loadFrom=DocumentDeeplink&amp;ts=656.99"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"https://www.temi.com/editor/t/FxD5a5gASFF7IXakDMxjXH5By2KMEl5p191v_eUuzt_Oy2BOSwvVx_wwIiS5ER-sPUulBTJ-6l4RiRcElxbobae9GLg?loadFrom=DocumentDeeplink&amp;ts=659.78"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"https://www.temi.com/editor/t/FxD5a5gASFF7IXakDMxjXH5By2KMEl5p191v_eUuzt_Oy2BOSwvVx_wwIiS5ER-sPUulBTJ-6l4RiRcElxbobae9GLg?loadFrom=DocumentDeeplink&amp;ts=663.23"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"https://www.temi.com/editor/t/FxD5a5gASFF7IXakDMxjXH5By2KMEl5p191v_eUuzt_Oy2BOSwvVx_wwIiS5ER-sPUulBTJ-6l4RiRcElxbobae9GLg?loadFrom=DocumentDeeplink&amp;ts=663.23"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"https://www.temi.com/editor/t/FxD5a5gASFF7IXakDMxjXH5By2KMEl5p191v_eUuzt_Oy2BOSwvVx_wwIiS5ER-sPUulBTJ-6l4RiRcElxbobae9GLg?loadFrom=DocumentDeeplink&amp;ts=675.83"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"https://www.temi.com/editor/t/FxD5a5gASFF7IXakDMxjXH5By2KMEl5p191v_eUuzt_Oy2BOSwvVx_wwIiS5ER-sPUulBTJ-6l4RiRcElxbobae9GLg?loadFrom=DocumentDeeplink&amp;ts=677.66"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"https://www.temi.com/editor/t/FxD5a5gASFF7IXakDMxjXH5By2KMEl5p191v_eUuzt_Oy2BOSwvVx_wwIiS5ER-sPUulBTJ-6l4RiRcElxbobae9GLg?loadFrom=DocumentDeeplink&amp;ts=687.17"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"https://www.temi.com/editor/t/FxD5a5gASFF7IXakDMxjXH5By2KMEl5p191v_eUuzt_Oy2BOSwvVx_wwIiS5ER-sPUulBTJ-6l4RiRcElxbobae9GLg?loadFrom=DocumentDeeplink&amp;ts=687.17"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"https://www.temi.com/editor/t/FxD5a5gASFF7IXakDMxjXH5By2KMEl5p191v_eUuzt_Oy2BOSwvVx_wwIiS5ER-sPUulBTJ-6l4RiRcElxbobae9GLg?loadFrom=DocumentDeeplink&amp;ts=696.56"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"https://www.temi.com/editor/t/FxD5a5gASFF7IXakDMxjXH5By2KMEl5p191v_eUuzt_Oy2BOSwvVx_wwIiS5ER-sPUulBTJ-6l4RiRcElxbobae9GLg?loadFrom=DocumentDeeplink&amp;ts=696.56"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"https://www.temi.com/editor/t/FxD5a5gASFF7IXakDMxjXH5By2KMEl5p191v_eUuzt_Oy2BOSwvVx_wwIiS5ER-sPUulBTJ-6l4RiRcElxbobae9GLg?loadFrom=DocumentDeeplink&amp;ts=704.61"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"https://www.temi.com/editor/t/FxD5a5gASFF7IXakDMxjXH5By2KMEl5p191v_eUuzt_Oy2BOSwvVx_wwIiS5ER-sPUulBTJ-6l4RiRcElxbobae9GLg?loadFrom=DocumentDeeplink&amp;ts=714.7"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teamviewer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"https://www.temi.com/editor/t/FxD5a5gASFF7IXakDMxjXH5By2KMEl5p191v_eUuzt_Oy2BOSwvVx_wwIiS5ER-sPUulBTJ-6l4RiRcElxbobae9GLg?loadFrom=DocumentDeeplink&amp;ts=729.66"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"https://www.temi.com/editor/t/FxD5a5gASFF7IXakDMxjXH5By2KMEl5p191v_eUuzt_Oy2BOSwvVx_wwIiS5ER-sPUulBTJ-6l4RiRcElxbobae9GLg?loadFrom=DocumentDeeplink&amp;ts=733.47"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teamviewer?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"https://www.temi.com/editor/t/FxD5a5gASFF7IXakDMxjXH5By2KMEl5p191v_eUuzt_Oy2BOSwvVx_wwIiS5ER-sPUulBTJ-6l4RiRcElxbobae9GLg?loadFrom=DocumentDeeplink&amp;ts=742.2"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"https://www.temi.com/editor/t/FxD5a5gASFF7IXakDMxjXH5By2KMEl5p191v_eUuzt_Oy2BOSwvVx_wwIiS5ER-sPUulBTJ-6l4RiRcElxbobae9GLg?loadFrom=DocumentDeeplink&amp;ts=745.11"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magnitude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"https://www.temi.com/editor/t/FxD5a5gASFF7IXakDMxjXH5By2KMEl5p191v_eUuzt_Oy2BOSwvVx_wwIiS5ER-sPUulBTJ-6l4RiRcElxbobae9GLg?loadFrom=DocumentDeeplink&amp;ts=753.54"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"https://www.temi.com/editor/t/FxD5a5gASFF7IXakDMxjXH5By2KMEl5p191v_eUuzt_Oy2BOSwvVx_wwIiS5ER-sPUulBTJ-6l4RiRcElxbobae9GLg?loadFrom=DocumentDeeplink&amp;ts=753.75"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1998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"https://www.temi.com/editor/t/FxD5a5gASFF7IXakDMxjXH5By2KMEl5p191v_eUuzt_Oy2BOSwvVx_wwIiS5ER-sPUulBTJ-6l4RiRcElxbobae9GLg?loadFrom=DocumentDeeplink&amp;ts=777.181"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"https://www.temi.com/editor/t/FxD5a5gASFF7IXakDMxjXH5By2KMEl5p191v_eUuzt_Oy2BOSwvVx_wwIiS5ER-sPUulBTJ-6l4RiRcElxbobae9GLg?loadFrom=DocumentDeeplink&amp;ts=777.181"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"https://www.temi.com/editor/t/FxD5a5gASFF7IXakDMxjXH5By2KMEl5p191v_eUuzt_Oy2BOSwvVx_wwIiS5ER-sPUulBTJ-6l4RiRcElxbobae9GLg?loadFrom=DocumentDeeplink&amp;ts=780.72"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"https://www.temi.com/editor/t/FxD5a5gASFF7IXakDMxjXH5By2KMEl5p191v_eUuzt_Oy2BOSwvVx_wwIiS5ER-sPUulBTJ-6l4RiRcElxbobae9GLg?loadFrom=DocumentDeeplink&amp;ts=780.72"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Lavinia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"https://www.temi.com/editor/t/FxD5a5gASFF7IXakDMxjXH5By2KMEl5p191v_eUuzt_Oy2BOSwvVx_wwIiS5ER-sPUulBTJ-6l4RiRcElxbobae9GLg?loadFrom=DocumentDeeplink&amp;ts=793.35"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"https://www.temi.com/editor/t/FxD5a5gASFF7IXakDMxjXH5By2KMEl5p191v_eUuzt_Oy2BOSwvVx_wwIiS5ER-sPUulBTJ-6l4RiRcElxbobae9GLg?loadFrom=DocumentDeeplink&amp;ts=793.35"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interrupt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"https://www.temi.com/editor/t/FxD5a5gASFF7IXakDMxjXH5By2KMEl5p191v_eUuzt_Oy2BOSwvVx_wwIiS5ER-sPUulBTJ-6l4RiRcElxbobae9GLg?loadFrom=DocumentDeeplink&amp;ts=793.35"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"https://www.temi.com/editor/t/FxD5a5gASFF7IXakDMxjXH5By2KMEl5p191v_eUuzt_Oy2BOSwvVx_wwIiS5ER-sPUulBTJ-6l4RiRcElxbobae9GLg?loadFrom=DocumentDeeplink&amp;ts=793.35"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hyper.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"https://www.temi.com/editor/t/FxD5a5gASFF7IXakDMxjXH5By2KMEl5p191v_eUuzt_Oy2BOSwvVx_wwIiS5ER-sPUulBTJ-6l4RiRcElxbobae9GLg?loadFrom=DocumentDeeplink&amp;ts=793.35"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"https://www.temi.com/editor/t/FxD5a5gASFF7IXakDMxjXH5By2KMEl5p191v_eUuzt_Oy2BOSwvVx_wwIiS5ER-sPUulBTJ-6l4RiRcElxbobae9GLg?loadFrom=DocumentDeeplink&amp;ts=802.65"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"https://www.temi.com/editor/t/FxD5a5gASFF7IXakDMxjXH5By2KMEl5p191v_eUuzt_Oy2BOSwvVx_wwIiS5ER-sPUulBTJ-6l4RiRcElxbobae9GLg?loadFrom=DocumentDeeplink&amp;ts=810.69"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"https://www.temi.com/editor/t/FxD5a5gASFF7IXakDMxjXH5By2KMEl5p191v_eUuzt_Oy2BOSwvVx_wwIiS5ER-sPUulBTJ-6l4RiRcElxbobae9GLg?loadFrom=DocumentDeeplink&amp;ts=820.23"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behavior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"https://www.temi.com/editor/t/FxD5a5gASFF7IXakDMxjXH5By2KMEl5p191v_eUuzt_Oy2BOSwvVx_wwIiS5ER-sPUulBTJ-6l4RiRcElxbobae9GLg?loadFrom=DocumentDeeplink&amp;ts=829.59"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dismissed.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"https://www.temi.com/editor/t/FxD5a5gASFF7IXakDMxjXH5By2KMEl5p191v_eUuzt_Oy2BOSwvVx_wwIiS5ER-sPUulBTJ-6l4RiRcElxbobae9GLg?loadFrom=DocumentDeeplink&amp;ts=838.23"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13:58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"https://www.temi.com/editor/t/FxD5a5gASFF7IXakDMxjXH5By2KMEl5p191v_eUuzt_Oy2BOSwvVx_wwIiS5ER-sPUulBTJ-6l4RiRcElxbobae9GLg?loadFrom=DocumentDeeplink&amp;ts=843.42"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likelihood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"https://www.temi.com/editor/t/FxD5a5gASFF7IXakDMxjXH5By2KMEl5p191v_eUuzt_Oy2BOSwvVx_wwIiS5ER-sPUulBTJ-6l4RiRcElxbobae9GLg?loadFrom=DocumentDeeplink&amp;ts=867.3"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"https://www.temi.com/editor/t/FxD5a5gASFF7IXakDMxjXH5By2KMEl5p191v_eUuzt_Oy2BOSwvVx_wwIiS5ER-sPUulBTJ-6l4RiRcElxbobae9GLg?loadFrom=DocumentDeeplink&amp;ts=870.84"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"https://www.temi.com/editor/t/FxD5a5gASFF7IXakDMxjXH5By2KMEl5p191v_eUuzt_Oy2BOSwvVx_wwIiS5ER-sPUulBTJ-6l4RiRcElxbobae9GLg?loadFrom=DocumentDeeplink&amp;ts=888.96"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5Pm.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"https://www.temi.com/editor/t/FxD5a5gASFF7IXakDMxjXH5By2KMEl5p191v_eUuzt_Oy2BOSwvVx_wwIiS5ER-sPUulBTJ-6l4RiRcElxbobae9GLg?loadFrom=DocumentDeeplink&amp;ts=893.511"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"https://www.temi.com/editor/t/FxD5a5gASFF7IXakDMxjXH5By2KMEl5p191v_eUuzt_Oy2BOSwvVx_wwIiS5ER-sPUulBTJ-6l4RiRcElxbobae9GLg?loadFrom=DocumentDeeplink&amp;ts=893.511"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"https://www.temi.com/editor/t/FxD5a5gASFF7IXakDMxjXH5By2KMEl5p191v_eUuzt_Oy2BOSwvVx_wwIiS5ER-sPUulBTJ-6l4RiRcElxbobae9GLg?loadFrom=DocumentDeeplink&amp;ts=897.83"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"https://www.temi.com/editor/t/FxD5a5gASFF7IXakDMxjXH5By2KMEl5p191v_eUuzt_Oy2BOSwvVx_wwIiS5ER-sPUulBTJ-6l4RiRcElxbobae9GLg?loadFrom=DocumentDeeplink&amp;ts=897.83"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5Pm.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"https://www.temi.com/editor/t/FxD5a5gASFF7IXakDMxjXH5By2KMEl5p191v_eUuzt_Oy2BOSwvVx_wwIiS5ER-sPUulBTJ-6l4RiRcElxbobae9GLg?loadFrom=DocumentDeeplink&amp;ts=898.84"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"https://www.temi.com/editor/t/FxD5a5gASFF7IXakDMxjXH5By2KMEl5p191v_eUuzt_Oy2BOSwvVx_wwIiS5ER-sPUulBTJ-6l4RiRcElxbobae9GLg?loadFrom=DocumentDeeplink&amp;ts=902.89"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"https://www.temi.com/editor/t/FxD5a5gASFF7IXakDMxjXH5By2KMEl5p191v_eUuzt_Oy2BOSwvVx_wwIiS5ER-sPUulBTJ-6l4RiRcElxbobae9GLg?loadFrom=DocumentDeeplink&amp;ts=902.89"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"https://www.temi.com/editor/t/FxD5a5gASFF7IXakDMxjXH5By2KMEl5p191v_eUuzt_Oy2BOSwvVx_wwIiS5ER-sPUulBTJ-6l4RiRcElxbobae9GLg?loadFrom=DocumentDeeplink&amp;ts=904.93"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