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"https://www.temi.com/editor/t/PFdLA20DJZg5xeucnGoKLhju5MdqRdJSfNgsosOJ1so-ZrpvEq3P_Nawc_35soj-oL0UEbVLdFo8WhnPv78621DtF20?loadFrom=SharedLink&amp;ts=10.44"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"https://www.temi.com/editor/t/PFdLA20DJZg5xeucnGoKLhju5MdqRdJSfNgsosOJ1so-ZrpvEq3P_Nawc_35soj-oL0UEbVLdFo8WhnPv78621DtF20?loadFrom=SharedLink&amp;ts=16.05"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"https://www.temi.com/editor/t/PFdLA20DJZg5xeucnGoKLhju5MdqRdJSfNgsosOJ1so-ZrpvEq3P_Nawc_35soj-oL0UEbVLdFo8WhnPv78621DtF20?loadFrom=SharedLink&amp;ts=19.85"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casecaseloadload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"https://www.temi.com/editor/t/PFdLA20DJZg5xeucnGoKLhju5MdqRdJSfNgsosOJ1so-ZrpvEq3P_Nawc_35soj-oL0UEbVLdFo8WhnPv78621DtF20?loadFrom=SharedLink&amp;ts=41.67"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"https://www.temi.com/editor/t/PFdLA20DJZg5xeucnGoKLhju5MdqRdJSfNgsosOJ1so-ZrpvEq3P_Nawc_35soj-oL0UEbVLdFo8WhnPv78621DtF20?loadFrom=SharedLink&amp;ts=47.21"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"https://www.temi.com/editor/t/PFdLA20DJZg5xeucnGoKLhju5MdqRdJSfNgsosOJ1so-ZrpvEq3P_Nawc_35soj-oL0UEbVLdFo8WhnPv78621DtF20?loadFrom=SharedLink&amp;ts=47.521"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"https://www.temi.com/editor/t/PFdLA20DJZg5xeucnGoKLhju5MdqRdJSfNgsosOJ1so-ZrpvEq3P_Nawc_35soj-oL0UEbVLdFo8WhnPv78621DtF20?loadFrom=SharedLink&amp;ts=47.521"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Enfield.gov.uk.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questionnaire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malefeases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tendencies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"https://www.temi.com/editor/t/PFdLA20DJZg5xeucnGoKLhju5MdqRdJSfNgsosOJ1so-ZrpvEq3P_Nawc_35soj-oL0UEbVLdFo8WhnPv78621DtF20?loadFrom=SharedLink&amp;ts=84.81"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"https://www.temi.com/editor/t/PFdLA20DJZg5xeucnGoKLhju5MdqRdJSfNgsosOJ1so-ZrpvEq3P_Nawc_35soj-oL0UEbVLdFo8WhnPv78621DtF20?loadFrom=SharedLink&amp;ts=84.81"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"https://www.temi.com/editor/t/PFdLA20DJZg5xeucnGoKLhju5MdqRdJSfNgsosOJ1so-ZrpvEq3P_Nawc_35soj-oL0UEbVLdFo8WhnPv78621DtF20?loadFrom=SharedLink&amp;ts=91.001"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"https://www.temi.com/editor/t/PFdLA20DJZg5xeucnGoKLhju5MdqRdJSfNgsosOJ1so-ZrpvEq3P_Nawc_35soj-oL0UEbVLdFo8WhnPv78621DtF20?loadFrom=SharedLink&amp;ts=91.001"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"https://www.temi.com/editor/t/PFdLA20DJZg5xeucnGoKLhju5MdqRdJSfNgsosOJ1so-ZrpvEq3P_Nawc_35soj-oL0UEbVLdFo8WhnPv78621DtF20?loadFrom=SharedLink&amp;ts=115.77"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"https://www.temi.com/editor/t/PFdLA20DJZg5xeucnGoKLhju5MdqRdJSfNgsosOJ1so-ZrpvEq3P_Nawc_35soj-oL0UEbVLdFo8WhnPv78621DtF20?loadFrom=SharedLink&amp;ts=116.16"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proposals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"https://www.temi.com/editor/t/PFdLA20DJZg5xeucnGoKLhju5MdqRdJSfNgsosOJ1so-ZrpvEq3P_Nawc_35soj-oL0UEbVLdFo8WhnPv78621DtF20?loadFrom=SharedLink&amp;ts=162.931"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"https://www.temi.com/editor/t/PFdLA20DJZg5xeucnGoKLhju5MdqRdJSfNgsosOJ1so-ZrpvEq3P_Nawc_35soj-oL0UEbVLdFo8WhnPv78621DtF20?loadFrom=SharedLink&amp;ts=162.931"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Becky.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"https://www.temi.com/editor/t/PFdLA20DJZg5xeucnGoKLhju5MdqRdJSfNgsosOJ1so-ZrpvEq3P_Nawc_35soj-oL0UEbVLdFo8WhnPv78621DtF20?loadFrom=SharedLink&amp;ts=169.68"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Lazbo.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"https://www.temi.com/editor/t/PFdLA20DJZg5xeucnGoKLhju5MdqRdJSfNgsosOJ1so-ZrpvEq3P_Nawc_35soj-oL0UEbVLdFo8WhnPv78621DtF20?loadFrom=SharedLink&amp;ts=199.841"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stringent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"https://www.temi.com/editor/t/PFdLA20DJZg5xeucnGoKLhju5MdqRdJSfNgsosOJ1so-ZrpvEq3P_Nawc_35soj-oL0UEbVLdFo8WhnPv78621DtF20?loadFrom=SharedLink&amp;ts=219.64"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"https://www.temi.com/editor/t/PFdLA20DJZg5xeucnGoKLhju5MdqRdJSfNgsosOJ1so-ZrpvEq3P_Nawc_35soj-oL0UEbVLdFo8WhnPv78621DtF20?loadFrom=SharedLink&amp;ts=219.64"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"https://www.temi.com/editor/t/PFdLA20DJZg5xeucnGoKLhju5MdqRdJSfNgsosOJ1so-ZrpvEq3P_Nawc_35soj-oL0UEbVLdFo8WhnPv78621DtF20?loadFrom=SharedLink&amp;ts=225.011"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"https://www.temi.com/editor/t/PFdLA20DJZg5xeucnGoKLhju5MdqRdJSfNgsosOJ1so-ZrpvEq3P_Nawc_35soj-oL0UEbVLdFo8WhnPv78621DtF20?loadFrom=SharedLink&amp;ts=225.011"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Brixton.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"https://www.temi.com/editor/t/PFdLA20DJZg5xeucnGoKLhju5MdqRdJSfNgsosOJ1so-ZrpvEq3P_Nawc_35soj-oL0UEbVLdFo8WhnPv78621DtF20?loadFrom=SharedLink&amp;ts=239.71"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"https://www.temi.com/editor/t/PFdLA20DJZg5xeucnGoKLhju5MdqRdJSfNgsosOJ1so-ZrpvEq3P_Nawc_35soj-oL0UEbVLdFo8WhnPv78621DtF20?loadFrom=SharedLink&amp;ts=239.71"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£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"https://www.temi.com/editor/t/PFdLA20DJZg5xeucnGoKLhju5MdqRdJSfNgsosOJ1so-ZrpvEq3P_Nawc_35soj-oL0UEbVLdFo8WhnPv78621DtF20?loadFrom=SharedLink&amp;ts=261.52"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"https://www.temi.com/editor/t/PFdLA20DJZg5xeucnGoKLhju5MdqRdJSfNgsosOJ1so-ZrpvEq3P_Nawc_35soj-oL0UEbVLdFo8WhnPv78621DtF20?loadFrom=SharedLink&amp;ts=262.031"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"https://www.temi.com/editor/t/PFdLA20DJZg5xeucnGoKLhju5MdqRdJSfNgsosOJ1so-ZrpvEq3P_Nawc_35soj-oL0UEbVLdFo8WhnPv78621DtF20?loadFrom=SharedLink&amp;ts=262.031"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Destroyed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"https://www.temi.com/editor/t/PFdLA20DJZg5xeucnGoKLhju5MdqRdJSfNgsosOJ1so-ZrpvEq3P_Nawc_35soj-oL0UEbVLdFo8WhnPv78621DtF20?loadFrom=SharedLink&amp;ts=272.65"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"https://www.temi.com/editor/t/PFdLA20DJZg5xeucnGoKLhju5MdqRdJSfNgsosOJ1so-ZrpvEq3P_Nawc_35soj-oL0UEbVLdFo8WhnPv78621DtF20?loadFrom=SharedLink&amp;ts=272.65"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"https://www.temi.com/editor/t/PFdLA20DJZg5xeucnGoKLhju5MdqRdJSfNgsosOJ1so-ZrpvEq3P_Nawc_35soj-oL0UEbVLdFo8WhnPv78621DtF20?loadFrom=SharedLink&amp;ts=286.281"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"https://www.temi.com/editor/t/PFdLA20DJZg5xeucnGoKLhju5MdqRdJSfNgsosOJ1so-ZrpvEq3P_Nawc_35soj-oL0UEbVLdFo8WhnPv78621DtF20?loadFrom=SharedLink&amp;ts=286.281"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"https://www.temi.com/editor/t/PFdLA20DJZg5xeucnGoKLhju5MdqRdJSfNgsosOJ1so-ZrpvEq3P_Nawc_35soj-oL0UEbVLdFo8WhnPv78621DtF20?loadFrom=SharedLink&amp;ts=294.291"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"https://www.temi.com/editor/t/PFdLA20DJZg5xeucnGoKLhju5MdqRdJSfNgsosOJ1so-ZrpvEq3P_Nawc_35soj-oL0UEbVLdFo8WhnPv78621DtF20?loadFrom=SharedLink&amp;ts=294.291"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"https://www.temi.com/editor/t/PFdLA20DJZg5xeucnGoKLhju5MdqRdJSfNgsosOJ1so-ZrpvEq3P_Nawc_35soj-oL0UEbVLdFo8WhnPv78621DtF20?loadFrom=SharedLink&amp;ts=300.61"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"https://www.temi.com/editor/t/PFdLA20DJZg5xeucnGoKLhju5MdqRdJSfNgsosOJ1so-ZrpvEq3P_Nawc_35soj-oL0UEbVLdFo8WhnPv78621DtF20?loadFrom=SharedLink&amp;ts=300.61"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"https://www.temi.com/editor/t/PFdLA20DJZg5xeucnGoKLhju5MdqRdJSfNgsosOJ1so-ZrpvEq3P_Nawc_35soj-oL0UEbVLdFo8WhnPv78621DtF20?loadFrom=SharedLink&amp;ts=303.28"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"https://www.temi.com/editor/t/PFdLA20DJZg5xeucnGoKLhju5MdqRdJSfNgsosOJ1so-ZrpvEq3P_Nawc_35soj-oL0UEbVLdFo8WhnPv78621DtF20?loadFrom=SharedLink&amp;ts=318.16"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"https://www.temi.com/editor/t/PFdLA20DJZg5xeucnGoKLhju5MdqRdJSfNgsosOJ1so-ZrpvEq3P_Nawc_35soj-oL0UEbVLdFo8WhnPv78621DtF20?loadFrom=SharedLink&amp;ts=318.16"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"https://www.temi.com/editor/t/PFdLA20DJZg5xeucnGoKLhju5MdqRdJSfNgsosOJ1so-ZrpvEq3P_Nawc_35soj-oL0UEbVLdFo8WhnPv78621DtF20?loadFrom=SharedLink&amp;ts=325.54"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"https://www.temi.com/editor/t/PFdLA20DJZg5xeucnGoKLhju5MdqRdJSfNgsosOJ1so-ZrpvEq3P_Nawc_35soj-oL0UEbVLdFo8WhnPv78621DtF20?loadFrom=SharedLink&amp;ts=325.54"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"https://www.temi.com/editor/t/PFdLA20DJZg5xeucnGoKLhju5MdqRdJSfNgsosOJ1so-ZrpvEq3P_Nawc_35soj-oL0UEbVLdFo8WhnPv78621DtF20?loadFrom=SharedLink&amp;ts=329.02"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"https://www.temi.com/editor/t/PFdLA20DJZg5xeucnGoKLhju5MdqRdJSfNgsosOJ1so-ZrpvEq3P_Nawc_35soj-oL0UEbVLdFo8WhnPv78621DtF20?loadFrom=SharedLink&amp;ts=329.02"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`Now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"https://www.temi.com/editor/t/PFdLA20DJZg5xeucnGoKLhju5MdqRdJSfNgsosOJ1so-ZrpvEq3P_Nawc_35soj-oL0UEbVLdFo8WhnPv78621DtF20?loadFrom=SharedLink&amp;ts=343.51"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"https://www.temi.com/editor/t/PFdLA20DJZg5xeucnGoKLhju5MdqRdJSfNgsosOJ1so-ZrpvEq3P_Nawc_35soj-oL0UEbVLdFo8WhnPv78621DtF20?loadFrom=SharedLink&amp;ts=363.79"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"https://www.temi.com/editor/t/PFdLA20DJZg5xeucnGoKLhju5MdqRdJSfNgsosOJ1so-ZrpvEq3P_Nawc_35soj-oL0UEbVLdFo8WhnPv78621DtF20?loadFrom=SharedLink&amp;ts=363.79"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plastered.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"https://www.temi.com/editor/t/PFdLA20DJZg5xeucnGoKLhju5MdqRdJSfNgsosOJ1so-ZrpvEq3P_Nawc_35soj-oL0UEbVLdFo8WhnPv78621DtF20?loadFrom=SharedLink&amp;ts=377.6"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"https://www.temi.com/editor/t/PFdLA20DJZg5xeucnGoKLhju5MdqRdJSfNgsosOJ1so-ZrpvEq3P_Nawc_35soj-oL0UEbVLdFo8WhnPv78621DtF20?loadFrom=SharedLink&amp;ts=384.28"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"https://www.temi.com/editor/t/PFdLA20DJZg5xeucnGoKLhju5MdqRdJSfNgsosOJ1so-ZrpvEq3P_Nawc_35soj-oL0UEbVLdFo8WhnPv78621DtF20?loadFrom=SharedLink&amp;ts=384.28"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symptoms.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"https://www.temi.com/editor/t/PFdLA20DJZg5xeucnGoKLhju5MdqRdJSfNgsosOJ1so-ZrpvEq3P_Nawc_35soj-oL0UEbVLdFo8WhnPv78621DtF20?loadFrom=SharedLink&amp;ts=393.06"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"https://www.temi.com/editor/t/PFdLA20DJZg5xeucnGoKLhju5MdqRdJSfNgsosOJ1so-ZrpvEq3P_Nawc_35soj-oL0UEbVLdFo8WhnPv78621DtF20?loadFrom=SharedLink&amp;ts=393.06"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"https://www.temi.com/editor/t/PFdLA20DJZg5xeucnGoKLhju5MdqRdJSfNgsosOJ1so-ZrpvEq3P_Nawc_35soj-oL0UEbVLdFo8WhnPv78621DtF20?loadFrom=SharedLink&amp;ts=420.74"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"https://www.temi.com/editor/t/PFdLA20DJZg5xeucnGoKLhju5MdqRdJSfNgsosOJ1so-ZrpvEq3P_Nawc_35soj-oL0UEbVLdFo8WhnPv78621DtF20?loadFrom=SharedLink&amp;ts=422.48"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"https://www.temi.com/editor/t/PFdLA20DJZg5xeucnGoKLhju5MdqRdJSfNgsosOJ1so-ZrpvEq3P_Nawc_35soj-oL0UEbVLdFo8WhnPv78621DtF20?loadFrom=SharedLink&amp;ts=422.48"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"https://www.temi.com/editor/t/PFdLA20DJZg5xeucnGoKLhju5MdqRdJSfNgsosOJ1so-ZrpvEq3P_Nawc_35soj-oL0UEbVLdFo8WhnPv78621DtF20?loadFrom=SharedLink&amp;ts=439.82"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"https://www.temi.com/editor/t/PFdLA20DJZg5xeucnGoKLhju5MdqRdJSfNgsosOJ1so-ZrpvEq3P_Nawc_35soj-oL0UEbVLdFo8WhnPv78621DtF20?loadFrom=SharedLink&amp;ts=449.771"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"https://www.temi.com/editor/t/PFdLA20DJZg5xeucnGoKLhju5MdqRdJSfNgsosOJ1so-ZrpvEq3P_Nawc_35soj-oL0UEbVLdFo8WhnPv78621DtF20?loadFrom=SharedLink&amp;ts=449.771"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"https://www.temi.com/editor/t/PFdLA20DJZg5xeucnGoKLhju5MdqRdJSfNgsosOJ1so-ZrpvEq3P_Nawc_35soj-oL0UEbVLdFo8WhnPv78621DtF20?loadFrom=SharedLink&amp;ts=466.22"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"https://www.temi.com/editor/t/PFdLA20DJZg5xeucnGoKLhju5MdqRdJSfNgsosOJ1so-ZrpvEq3P_Nawc_35soj-oL0UEbVLdFo8WhnPv78621DtF20?loadFrom=SharedLink&amp;ts=476.15"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"https://www.temi.com/editor/t/PFdLA20DJZg5xeucnGoKLhju5MdqRdJSfNgsosOJ1so-ZrpvEq3P_Nawc_35soj-oL0UEbVLdFo8WhnPv78621DtF20?loadFrom=SharedLink&amp;ts=476.15"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"https://www.temi.com/editor/t/PFdLA20DJZg5xeucnGoKLhju5MdqRdJSfNgsosOJ1so-ZrpvEq3P_Nawc_35soj-oL0UEbVLdFo8WhnPv78621DtF20?loadFrom=SharedLink&amp;ts=483.71"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"https://www.temi.com/editor/t/PFdLA20DJZg5xeucnGoKLhju5MdqRdJSfNgsosOJ1so-ZrpvEq3P_Nawc_35soj-oL0UEbVLdFo8WhnPv78621DtF20?loadFrom=SharedLink&amp;ts=483.71"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"https://www.temi.com/editor/t/PFdLA20DJZg5xeucnGoKLhju5MdqRdJSfNgsosOJ1so-ZrpvEq3P_Nawc_35soj-oL0UEbVLdFo8WhnPv78621DtF20?loadFrom=SharedLink&amp;ts=510.27"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"https://www.temi.com/editor/t/PFdLA20DJZg5xeucnGoKLhju5MdqRdJSfNgsosOJ1so-ZrpvEq3P_Nawc_35soj-oL0UEbVLdFo8WhnPv78621DtF20?loadFrom=SharedLink&amp;ts=511.13"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"https://www.temi.com/editor/t/PFdLA20DJZg5xeucnGoKLhju5MdqRdJSfNgsosOJ1so-ZrpvEq3P_Nawc_35soj-oL0UEbVLdFo8WhnPv78621DtF20?loadFrom=SharedLink&amp;ts=520.91"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frequently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nominee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araco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eotone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plagiarize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grammar,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nternational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ocker.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"https://www.temi.com/editor/t/PFdLA20DJZg5xeucnGoKLhju5MdqRdJSfNgsosOJ1so-ZrpvEq3P_Nawc_35soj-oL0UEbVLdFo8WhnPv78621DtF20?loadFrom=SharedLink&amp;ts=558.15"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"https://www.temi.com/editor/t/PFdLA20DJZg5xeucnGoKLhju5MdqRdJSfNgsosOJ1so-ZrpvEq3P_Nawc_35soj-oL0UEbVLdFo8WhnPv78621DtF20?loadFrom=SharedLink&amp;ts=598.47"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Hasbro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"https://www.temi.com/editor/t/PFdLA20DJZg5xeucnGoKLhju5MdqRdJSfNgsosOJ1so-ZrpvEq3P_Nawc_35soj-oL0UEbVLdFo8WhnPv78621DtF20?loadFrom=SharedLink&amp;ts=646.67"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Ozzie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Shandra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"https://www.temi.com/editor/t/PFdLA20DJZg5xeucnGoKLhju5MdqRdJSfNgsosOJ1so-ZrpvEq3P_Nawc_35soj-oL0UEbVLdFo8WhnPv78621DtF20?loadFrom=SharedLink&amp;ts=684.62"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DPA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intwined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entanglement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"https://www.temi.com/editor/t/PFdLA20DJZg5xeucnGoKLhju5MdqRdJSfNgsosOJ1so-ZrpvEq3P_Nawc_35soj-oL0UEbVLdFo8WhnPv78621DtF20?loadFrom=SharedLink&amp;ts=724.33"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Oxford,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"https://www.temi.com/editor/t/PFdLA20DJZg5xeucnGoKLhju5MdqRdJSfNgsosOJ1so-ZrpvEq3P_Nawc_35soj-oL0UEbVLdFo8WhnPv78621DtF20?loadFrom=SharedLink&amp;ts=769.42"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offenders.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statistics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estrogen.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"https://www.temi.com/editor/t/PFdLA20DJZg5xeucnGoKLhju5MdqRdJSfNgsosOJ1so-ZrpvEq3P_Nawc_35soj-oL0UEbVLdFo8WhnPv78621DtF20?loadFrom=SharedLink&amp;ts=807.82"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Miraj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"https://www.temi.com/editor/t/PFdLA20DJZg5xeucnGoKLhju5MdqRdJSfNgsosOJ1so-ZrpvEq3P_Nawc_35soj-oL0UEbVLdFo8WhnPv78621DtF20?loadFrom=SharedLink&amp;ts=851.01"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awkward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"https://www.temi.com/editor/t/PFdLA20DJZg5xeucnGoKLhju5MdqRdJSfNgsosOJ1so-ZrpvEq3P_Nawc_35soj-oL0UEbVLdFo8WhnPv78621DtF20?loadFrom=SharedLink&amp;ts=888.55"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EHCR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"https://www.temi.com/editor/t/PFdLA20DJZg5xeucnGoKLhju5MdqRdJSfNgsosOJ1so-ZrpvEq3P_Nawc_35soj-oL0UEbVLdFo8WhnPv78621DtF20?loadFrom=SharedLink&amp;ts=938.9"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"https://www.temi.com/editor/t/PFdLA20DJZg5xeucnGoKLhju5MdqRdJSfNgsosOJ1so-ZrpvEq3P_Nawc_35soj-oL0UEbVLdFo8WhnPv78621DtF20?loadFrom=SharedLink&amp;ts=984.33"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Anthony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heroine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"https://www.temi.com/editor/t/PFdLA20DJZg5xeucnGoKLhju5MdqRdJSfNgsosOJ1so-ZrpvEq3P_Nawc_35soj-oL0UEbVLdFo8WhnPv78621DtF20?loadFrom=SharedLink&amp;ts=1025.54"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lizard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"https://www.temi.com/editor/t/PFdLA20DJZg5xeucnGoKLhju5MdqRdJSfNgsosOJ1so-ZrpvEq3P_Nawc_35soj-oL0UEbVLdFo8WhnPv78621DtF20?loadFrom=SharedLink&amp;ts=1070.22"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"https://www.temi.com/editor/t/PFdLA20DJZg5xeucnGoKLhju5MdqRdJSfNgsosOJ1so-ZrpvEq3P_Nawc_35soj-oL0UEbVLdFo8WhnPv78621DtF20?loadFrom=SharedLink&amp;ts=1114.8"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superintendent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lingos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sanitary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"https://www.temi.com/editor/t/PFdLA20DJZg5xeucnGoKLhju5MdqRdJSfNgsosOJ1so-ZrpvEq3P_Nawc_35soj-oL0UEbVLdFo8WhnPv78621DtF20?loadFrom=SharedLink&amp;ts=1167.58"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Gregor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Glastonbury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"https://www.temi.com/editor/t/PFdLA20DJZg5xeucnGoKLhju5MdqRdJSfNgsosOJ1so-ZrpvEq3P_Nawc_35soj-oL0UEbVLdFo8WhnPv78621DtF20?loadFrom=SharedLink&amp;ts=1211.04"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"https://www.temi.com/editor/t/PFdLA20DJZg5xeucnGoKLhju5MdqRdJSfNgsosOJ1so-ZrpvEq3P_Nawc_35soj-oL0UEbVLdFo8WhnPv78621DtF20?loadFrom=SharedLink&amp;ts=1247.09"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quarter's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"https://www.temi.com/editor/t/PFdLA20DJZg5xeucnGoKLhju5MdqRdJSfNgsosOJ1so-ZrpvEq3P_Nawc_35soj-oL0UEbVLdFo8WhnPv78621DtF20?loadFrom=SharedLink&amp;ts=1289.47"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y'all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winchmore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photos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"https://www.temi.com/editor/t/PFdLA20DJZg5xeucnGoKLhju5MdqRdJSfNgsosOJ1so-ZrpvEq3P_Nawc_35soj-oL0UEbVLdFo8WhnPv78621DtF20?loadFrom=SharedLink&amp;ts=1335.07"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"https://www.temi.com/editor/t/PFdLA20DJZg5xeucnGoKLhju5MdqRdJSfNgsosOJ1so-ZrpvEq3P_Nawc_35soj-oL0UEbVLdFo8WhnPv78621DtF20?loadFrom=SharedLink&amp;ts=1370.38"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